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ED" w:rsidRDefault="00DF25ED" w:rsidP="00DF25ED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  <w:t>Использование современных логопедических технологий.</w:t>
      </w:r>
    </w:p>
    <w:p w:rsidR="00DF25ED" w:rsidRPr="00DF25ED" w:rsidRDefault="00DF25ED" w:rsidP="00DF25ED">
      <w:pPr>
        <w:shd w:val="clear" w:color="auto" w:fill="FFFFFF"/>
        <w:spacing w:after="0" w:line="360" w:lineRule="atLeast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</w:p>
    <w:p w:rsidR="002511C5" w:rsidRPr="002511C5" w:rsidRDefault="002511C5" w:rsidP="002511C5">
      <w:pPr>
        <w:shd w:val="clear" w:color="auto" w:fill="FFFFFF"/>
        <w:spacing w:after="0" w:line="360" w:lineRule="atLeast"/>
        <w:outlineLvl w:val="3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Эффективность логопедической работы во многом зависит от того, насколько правильно и грамотно проведена диагностика речевого недоразвития. Такая ситуация заставляет меня совершенствовать методы диагностического изучения детей с недостатками речи с учетом современных подходов к обследованию </w:t>
      </w:r>
      <w:proofErr w:type="spellStart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сформированности</w:t>
      </w:r>
      <w:proofErr w:type="spellEnd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их коммуникативной и языковой компетентности, описанных в специальной литературе В.П. Глуховым, О.Е. Грибовой, Т.А. Ткаченко, Т.Б. Филичевой, Г.В. Чиркиной. Для реализации этого направления структурировала современные технологии диагностики и коррекции речевых нарушений ведущих специалистов России: Е.А </w:t>
      </w:r>
      <w:proofErr w:type="spellStart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Стребелевой</w:t>
      </w:r>
      <w:proofErr w:type="spellEnd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О.Е. Грибовой, А.В. </w:t>
      </w:r>
      <w:proofErr w:type="spellStart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Ястребовой</w:t>
      </w:r>
      <w:proofErr w:type="spellEnd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Т.П. Бессоновой, И.А. Смирновой, Н.Д. </w:t>
      </w:r>
      <w:proofErr w:type="spellStart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Шматко</w:t>
      </w:r>
      <w:proofErr w:type="spellEnd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Ю.А. </w:t>
      </w:r>
      <w:proofErr w:type="spellStart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Разенковой</w:t>
      </w:r>
      <w:proofErr w:type="spellEnd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, основанные на принципах </w:t>
      </w:r>
      <w:proofErr w:type="spellStart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здоровьесбережения</w:t>
      </w:r>
      <w:proofErr w:type="spellEnd"/>
      <w:r w:rsidRPr="002511C5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, личностно-ориентированного подхода, междисциплинарного взаимодействия.</w:t>
      </w:r>
    </w:p>
    <w:p w:rsidR="002511C5" w:rsidRPr="009168F4" w:rsidRDefault="002511C5" w:rsidP="002511C5">
      <w:pPr>
        <w:numPr>
          <w:ilvl w:val="0"/>
          <w:numId w:val="1"/>
        </w:numPr>
        <w:shd w:val="clear" w:color="auto" w:fill="FFFFFF"/>
        <w:spacing w:after="0" w:line="360" w:lineRule="atLeast"/>
        <w:ind w:left="600" w:firstLine="0"/>
        <w:jc w:val="center"/>
        <w:outlineLvl w:val="3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  <w:r w:rsidRPr="002511C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Аналитические материалы по использованию современных логопедических технологий и методик</w:t>
      </w: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990"/>
        <w:gridCol w:w="2990"/>
        <w:gridCol w:w="2991"/>
      </w:tblGrid>
      <w:tr w:rsidR="009168F4" w:rsidTr="009168F4"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jc w:val="center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Современные образовательные технологии</w:t>
            </w:r>
          </w:p>
        </w:tc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jc w:val="center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 применения современных образовательных технологий</w:t>
            </w:r>
          </w:p>
        </w:tc>
        <w:tc>
          <w:tcPr>
            <w:tcW w:w="2991" w:type="dxa"/>
          </w:tcPr>
          <w:p w:rsidR="009168F4" w:rsidRPr="002511C5" w:rsidRDefault="009168F4" w:rsidP="00EC4307">
            <w:pPr>
              <w:spacing w:line="360" w:lineRule="atLeast"/>
              <w:jc w:val="center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Эффективность использования</w:t>
            </w:r>
          </w:p>
          <w:p w:rsidR="009168F4" w:rsidRPr="002511C5" w:rsidRDefault="009168F4" w:rsidP="00EC4307">
            <w:pPr>
              <w:spacing w:line="360" w:lineRule="atLeast"/>
              <w:jc w:val="center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технологий</w:t>
            </w:r>
          </w:p>
        </w:tc>
      </w:tr>
      <w:tr w:rsidR="009168F4" w:rsidTr="009168F4"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1.Проигрывание сказок на индивидуальных логопедических занятиях</w:t>
            </w:r>
          </w:p>
        </w:tc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Мотивация речевого общения, развитие и активизация словаря,</w:t>
            </w:r>
          </w:p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формирование вербальных средств коммуникации, формирование грамматического строя речи, связной речи.</w:t>
            </w:r>
          </w:p>
        </w:tc>
        <w:tc>
          <w:tcPr>
            <w:tcW w:w="2991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Способствует формированию первичных произносительных навыков, возникновению мотивации речевого общения, пополнению и активизации словаря, появлению фразы в речи ребёнка, устранению в речи </w:t>
            </w:r>
            <w:proofErr w:type="spellStart"/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аграмматизмов</w:t>
            </w:r>
            <w:proofErr w:type="spellEnd"/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</w:tr>
      <w:tr w:rsidR="009168F4" w:rsidTr="009168F4"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2. «Играем пальчиками, развиваем речь»</w:t>
            </w:r>
          </w:p>
        </w:tc>
        <w:tc>
          <w:tcPr>
            <w:tcW w:w="2990" w:type="dxa"/>
          </w:tcPr>
          <w:p w:rsidR="009168F4" w:rsidRPr="002511C5" w:rsidRDefault="009168F4" w:rsidP="009168F4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Формирование первичных произносительных умений, коррекции слоговой структуры слова и голоса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91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Способствует формированию мотивации речевого общения, возникновению первичных произносительных </w:t>
            </w: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 xml:space="preserve">умений и навыков, пополнению и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активизации словаря у </w:t>
            </w: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детей.</w:t>
            </w:r>
          </w:p>
        </w:tc>
      </w:tr>
      <w:tr w:rsidR="009168F4" w:rsidTr="009168F4"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lastRenderedPageBreak/>
              <w:t>3.Информационно-коммуникативные технологии.</w:t>
            </w:r>
          </w:p>
        </w:tc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Повышение интереса </w:t>
            </w:r>
            <w:proofErr w:type="gramStart"/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 xml:space="preserve"> к изучаемому материалу, повышение качества коррекционной работы.</w:t>
            </w:r>
          </w:p>
        </w:tc>
        <w:tc>
          <w:tcPr>
            <w:tcW w:w="2991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Сочетание традиционных современных средств и методов обучения, повышение интереса к изучаемому материалу.</w:t>
            </w:r>
          </w:p>
        </w:tc>
      </w:tr>
      <w:tr w:rsidR="009168F4" w:rsidTr="009168F4"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4.Игровые технологии.</w:t>
            </w:r>
          </w:p>
        </w:tc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Формирование социально-активной личности, успешная социализация, самореализация, игровая терапия и психологическая коррекция.</w:t>
            </w:r>
          </w:p>
        </w:tc>
        <w:tc>
          <w:tcPr>
            <w:tcW w:w="2991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Стимулирует к учебной деятельности, вызывает интерес и потребность общения, развивает когнитивные процессы.</w:t>
            </w:r>
          </w:p>
        </w:tc>
      </w:tr>
      <w:tr w:rsidR="009168F4" w:rsidTr="009168F4"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5.Идеографическое письмо, изографы.</w:t>
            </w:r>
          </w:p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Методика Зиновия Гольдина.</w:t>
            </w:r>
          </w:p>
        </w:tc>
        <w:tc>
          <w:tcPr>
            <w:tcW w:w="2990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Вызвать интерес детей к занятиям, который побуждает к активному поиску, догадкам, готовности к решению поставленной проблемы.</w:t>
            </w:r>
          </w:p>
        </w:tc>
        <w:tc>
          <w:tcPr>
            <w:tcW w:w="2991" w:type="dxa"/>
          </w:tcPr>
          <w:p w:rsidR="009168F4" w:rsidRPr="002511C5" w:rsidRDefault="009168F4" w:rsidP="00EC4307">
            <w:pPr>
              <w:spacing w:line="360" w:lineRule="atLeast"/>
              <w:outlineLvl w:val="3"/>
              <w:rPr>
                <w:rFonts w:ascii="inherit" w:eastAsia="Times New Roman" w:hAnsi="inherit" w:cs="Times New Roman"/>
                <w:color w:val="000000"/>
                <w:sz w:val="36"/>
                <w:szCs w:val="36"/>
                <w:lang w:eastAsia="ru-RU"/>
              </w:rPr>
            </w:pPr>
            <w:r w:rsidRPr="002511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Формирование познавательных процессов.</w:t>
            </w:r>
          </w:p>
        </w:tc>
      </w:tr>
    </w:tbl>
    <w:p w:rsidR="009168F4" w:rsidRPr="002511C5" w:rsidRDefault="009168F4" w:rsidP="009168F4">
      <w:pPr>
        <w:shd w:val="clear" w:color="auto" w:fill="FFFFFF"/>
        <w:spacing w:after="0" w:line="360" w:lineRule="atLeast"/>
        <w:ind w:left="600"/>
        <w:outlineLvl w:val="3"/>
        <w:rPr>
          <w:rFonts w:ascii="inherit" w:eastAsia="Times New Roman" w:hAnsi="inherit" w:cs="Times New Roman"/>
          <w:color w:val="000000"/>
          <w:sz w:val="36"/>
          <w:szCs w:val="36"/>
          <w:lang w:eastAsia="ru-RU"/>
        </w:rPr>
      </w:pPr>
    </w:p>
    <w:p w:rsidR="00BB5C30" w:rsidRDefault="00BB5C30"/>
    <w:p w:rsidR="002511C5" w:rsidRDefault="002511C5" w:rsidP="002511C5">
      <w:pPr>
        <w:pStyle w:val="4"/>
        <w:shd w:val="clear" w:color="auto" w:fill="FFFFFF"/>
        <w:spacing w:before="0" w:beforeAutospacing="0" w:after="0" w:afterAutospacing="0" w:line="360" w:lineRule="atLeast"/>
        <w:jc w:val="center"/>
        <w:rPr>
          <w:b w:val="0"/>
          <w:bCs w:val="0"/>
          <w:color w:val="000000"/>
          <w:sz w:val="36"/>
          <w:szCs w:val="36"/>
        </w:rPr>
      </w:pPr>
      <w:r>
        <w:rPr>
          <w:color w:val="000000"/>
          <w:sz w:val="36"/>
          <w:szCs w:val="36"/>
          <w:bdr w:val="none" w:sz="0" w:space="0" w:color="auto" w:frame="1"/>
        </w:rPr>
        <w:t>II. Разработанные и используемые учебные и методические материалы по применяемым технологиям</w:t>
      </w:r>
    </w:p>
    <w:p w:rsidR="002511C5" w:rsidRDefault="002511C5" w:rsidP="002511C5">
      <w:pPr>
        <w:pStyle w:val="4"/>
        <w:shd w:val="clear" w:color="auto" w:fill="FFFFFF"/>
        <w:spacing w:before="0" w:beforeAutospacing="0" w:after="0" w:afterAutospacing="0" w:line="360" w:lineRule="atLeast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Для более успешного решения коррекционных задач использую систему работы, включающую в себя: программу по развитию тонких движений кистей и пальцев рук, разработанную Шуйским госуниверситетом; программу по коррекции неречевых процессов разработанную психологом Коноваловой; систему речевых игр </w:t>
      </w:r>
      <w:proofErr w:type="spellStart"/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t>Буриной</w:t>
      </w:r>
      <w:proofErr w:type="spellEnd"/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t>; программу по формированию познавательных процессов и коррекции недостатков эмоционально-волевой сфер</w:t>
      </w:r>
      <w:r w:rsidR="009168F4">
        <w:rPr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ы, предлагаемую Е.В. Мазановой. </w:t>
      </w:r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Использование в системе комплекса разнообразных игровых приёмов и игр в качестве варианта речевых упражнений не только позволяет успешно решать задачи коррекционной работы, но и способствует общему умственному развитию детей. Программа развития </w:t>
      </w:r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lastRenderedPageBreak/>
        <w:t xml:space="preserve">мелкой моторики начинает работать ещё на уровне восприятия звучащей речи на слух. Чтобы механизм взаимодействия двигательной и речевой функции «сдвинул» речевое развитие в позитивном направлении, использую разнообразные приёмы работы. Содержанием занятий вовлекаю детей в основные мыслительные операции: анализ, обобщение, сравнение с опорой на работу всех анализаторов. Технологии привлекательны для ребят, но наибольшую эффективность </w:t>
      </w:r>
      <w:proofErr w:type="spellStart"/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t>логокоррекционной</w:t>
      </w:r>
      <w:proofErr w:type="spellEnd"/>
      <w:r>
        <w:rPr>
          <w:b w:val="0"/>
          <w:bCs w:val="0"/>
          <w:color w:val="000000"/>
          <w:sz w:val="27"/>
          <w:szCs w:val="27"/>
          <w:bdr w:val="none" w:sz="0" w:space="0" w:color="auto" w:frame="1"/>
        </w:rPr>
        <w:t xml:space="preserve"> помощи удается достигнуть, только опираясь на принципы индивидуального и дифференцированного подхода.</w:t>
      </w:r>
    </w:p>
    <w:p w:rsidR="002511C5" w:rsidRDefault="002511C5"/>
    <w:sectPr w:rsidR="00251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313B"/>
    <w:multiLevelType w:val="multilevel"/>
    <w:tmpl w:val="E69C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4A"/>
    <w:rsid w:val="0005114A"/>
    <w:rsid w:val="002511C5"/>
    <w:rsid w:val="009168F4"/>
    <w:rsid w:val="00BB5C30"/>
    <w:rsid w:val="00D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1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1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1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511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11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16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Админ</cp:lastModifiedBy>
  <cp:revision>4</cp:revision>
  <dcterms:created xsi:type="dcterms:W3CDTF">2018-12-05T00:27:00Z</dcterms:created>
  <dcterms:modified xsi:type="dcterms:W3CDTF">2018-09-18T23:48:00Z</dcterms:modified>
</cp:coreProperties>
</file>